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distribute"/>
        <w:rPr>
          <w:rFonts w:hint="eastAsia" w:ascii="Times New Roman" w:hAnsi="宋体"/>
          <w:b/>
          <w:bCs/>
          <w:color w:val="CC0000"/>
          <w:kern w:val="11"/>
          <w:sz w:val="84"/>
          <w:szCs w:val="84"/>
        </w:rPr>
      </w:pPr>
      <w:r>
        <w:rPr>
          <w:rFonts w:hint="eastAsia" w:ascii="Times New Roman" w:hAnsi="宋体"/>
          <w:b/>
          <w:bCs/>
          <w:color w:val="CC0000"/>
          <w:kern w:val="11"/>
          <w:sz w:val="84"/>
          <w:szCs w:val="84"/>
        </w:rPr>
        <w:t>广东省电路板行业协会</w:t>
      </w:r>
    </w:p>
    <w:p>
      <w:pPr>
        <w:spacing w:line="900" w:lineRule="exact"/>
        <w:jc w:val="distribute"/>
        <w:rPr>
          <w:rFonts w:ascii="Times New Roman" w:hAnsi="Times New Roman"/>
          <w:b/>
          <w:bCs/>
          <w:color w:val="CC0000"/>
          <w:kern w:val="11"/>
          <w:sz w:val="84"/>
          <w:szCs w:val="84"/>
        </w:rPr>
      </w:pPr>
      <w:r>
        <w:rPr>
          <w:rFonts w:ascii="Times New Roman" w:hAnsi="宋体"/>
          <w:b/>
          <w:bCs/>
          <w:color w:val="CC0000"/>
          <w:kern w:val="11"/>
          <w:sz w:val="84"/>
          <w:szCs w:val="84"/>
        </w:rPr>
        <w:t>深圳市线路板行业协会</w:t>
      </w:r>
    </w:p>
    <w:p>
      <w:pPr>
        <w:spacing w:line="360" w:lineRule="exact"/>
        <w:ind w:left="359" w:leftChars="171" w:firstLine="7371" w:firstLineChars="2523"/>
        <w:rPr>
          <w:rFonts w:ascii="Times New Roman" w:hAnsi="Times New Roman" w:eastAsia="隶书"/>
          <w:b/>
          <w:color w:val="FF0000"/>
          <w:spacing w:val="-4"/>
          <w:position w:val="-10"/>
          <w:sz w:val="30"/>
          <w:szCs w:val="30"/>
        </w:rPr>
      </w:pPr>
      <w:r>
        <w:rPr>
          <w:rFonts w:ascii="Times New Roman" w:hAnsi="Times New Roman" w:eastAsia="隶书"/>
          <w:b/>
          <w:color w:val="FF0000"/>
          <w:spacing w:val="-4"/>
          <w:position w:val="-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66040</wp:posOffset>
                </wp:positionV>
                <wp:extent cx="6336030" cy="0"/>
                <wp:effectExtent l="0" t="28575" r="762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C2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5pt;margin-top:5.2pt;height:0pt;width:498.9pt;z-index:251659264;mso-width-relative:page;mso-height-relative:page;" filled="f" stroked="t" coordsize="21600,21600" o:gfxdata="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D+7P1gAAAAkBAAAPAAAAAAAAAAEAIAAAACIAAABkcnMvZG93bnJl&#10;di54bWxQSwECFAAUAAAACACHTuJAsEbJQf8BAAD5AwAADgAAAAAAAAABACAAAAAlAQAAZHJzL2Uy&#10;b0RvYy54bWxQSwUGAAAAAAYABgBZAQAAlgUAAAAA&#10;">
                <v:fill on="f" focussize="0,0"/>
                <v:stroke weight="4.5pt" color="#C2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隶书"/>
          <w:b/>
          <w:color w:val="FF0000"/>
          <w:spacing w:val="-4"/>
          <w:position w:val="-1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关于开展202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年度广东省PCB产业状况调查的通知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广东省/深圳市各PCB企业：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27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为服务政府相关部门及企业经营管理人员，及时准确地了解行业经济发展现状，广东省电路板行业协会/深圳市线路板行业协会决定继续开展202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年度广东省电路板产业状况问卷调查，做好广东省/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深圳市营收亿元以上</w:t>
      </w:r>
      <w:r>
        <w:rPr>
          <w:rFonts w:hint="eastAsia" w:ascii="仿宋" w:hAnsi="仿宋" w:eastAsia="仿宋" w:cs="仿宋"/>
          <w:bCs/>
          <w:sz w:val="28"/>
          <w:szCs w:val="28"/>
        </w:rPr>
        <w:t>PCB制造企业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（包括总部在广东或在广东有生产基地的企业）</w:t>
      </w:r>
      <w:r>
        <w:rPr>
          <w:rFonts w:hint="eastAsia" w:ascii="仿宋" w:hAnsi="仿宋" w:eastAsia="仿宋" w:cs="仿宋"/>
          <w:bCs/>
          <w:sz w:val="28"/>
          <w:szCs w:val="28"/>
        </w:rPr>
        <w:t>的主要信息的统计工作，并结合全球及国内外产业发展环境、重大行业事件，辑录编写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bCs/>
          <w:sz w:val="28"/>
          <w:szCs w:val="28"/>
        </w:rPr>
        <w:t>广东省电路板产业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发展</w:t>
      </w:r>
      <w:r>
        <w:rPr>
          <w:rFonts w:hint="eastAsia" w:ascii="仿宋" w:hAnsi="仿宋" w:eastAsia="仿宋" w:cs="仿宋"/>
          <w:bCs/>
          <w:sz w:val="28"/>
          <w:szCs w:val="28"/>
        </w:rPr>
        <w:t>调查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研究</w:t>
      </w:r>
      <w:r>
        <w:rPr>
          <w:rFonts w:hint="eastAsia" w:ascii="仿宋" w:hAnsi="仿宋" w:eastAsia="仿宋" w:cs="仿宋"/>
          <w:bCs/>
          <w:sz w:val="28"/>
          <w:szCs w:val="28"/>
        </w:rPr>
        <w:t>报告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，供企业决策管理层参考，并向政府相关部门争取更多支持及更好的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高质量可持续</w:t>
      </w:r>
      <w:r>
        <w:rPr>
          <w:rFonts w:hint="eastAsia" w:ascii="仿宋" w:hAnsi="仿宋" w:eastAsia="仿宋" w:cs="仿宋"/>
          <w:sz w:val="28"/>
          <w:szCs w:val="28"/>
        </w:rPr>
        <w:t>发展空间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27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现将相关调查相关事项说明如下：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527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1、调查对象：</w:t>
      </w:r>
      <w:r>
        <w:rPr>
          <w:rFonts w:hint="eastAsia" w:ascii="仿宋" w:hAnsi="仿宋" w:eastAsia="仿宋" w:cs="仿宋"/>
          <w:sz w:val="28"/>
          <w:szCs w:val="28"/>
        </w:rPr>
        <w:t>广东省内PCB生产制造企业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527"/>
        <w:jc w:val="left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2、调查内容：</w:t>
      </w:r>
      <w:r>
        <w:rPr>
          <w:rFonts w:hint="eastAsia" w:ascii="仿宋" w:hAnsi="仿宋" w:eastAsia="仿宋" w:cs="仿宋"/>
          <w:bCs/>
          <w:sz w:val="28"/>
          <w:szCs w:val="28"/>
        </w:rPr>
        <w:t>PCB企业主要生产销售数据。调查问卷附后，请企业相关部门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认真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left="527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问卷收集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月1日至5月15日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48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请广东省内各PCB企业安排填写问卷，企业主管领导审核后盖章，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bCs/>
          <w:sz w:val="28"/>
          <w:szCs w:val="28"/>
        </w:rPr>
        <w:t>于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</w:rPr>
        <w:t>5月15日</w:t>
      </w:r>
      <w:r>
        <w:rPr>
          <w:rFonts w:hint="eastAsia" w:ascii="仿宋" w:hAnsi="仿宋" w:eastAsia="仿宋" w:cs="仿宋"/>
          <w:bCs/>
          <w:sz w:val="28"/>
          <w:szCs w:val="28"/>
        </w:rPr>
        <w:t>前将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问卷</w:t>
      </w:r>
      <w:r>
        <w:rPr>
          <w:rFonts w:hint="eastAsia" w:ascii="仿宋" w:hAnsi="仿宋" w:eastAsia="仿宋" w:cs="仿宋"/>
          <w:bCs/>
          <w:sz w:val="28"/>
          <w:szCs w:val="28"/>
        </w:rPr>
        <w:t>以电子邮件或传真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形式</w:t>
      </w:r>
      <w:r>
        <w:rPr>
          <w:rFonts w:hint="eastAsia" w:ascii="仿宋" w:hAnsi="仿宋" w:eastAsia="仿宋" w:cs="仿宋"/>
          <w:bCs/>
          <w:sz w:val="28"/>
          <w:szCs w:val="28"/>
        </w:rPr>
        <w:t>回复至秘书处，以便秘书处及时进行资料统计、分析，并形成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调查</w:t>
      </w:r>
      <w:r>
        <w:rPr>
          <w:rFonts w:hint="eastAsia" w:ascii="仿宋" w:hAnsi="仿宋" w:eastAsia="仿宋" w:cs="仿宋"/>
          <w:bCs/>
          <w:sz w:val="28"/>
          <w:szCs w:val="28"/>
        </w:rPr>
        <w:t>报告。如有需要，工作人员可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配合填写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27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4、资料保密：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问卷资料仅供整体分析之用，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希望各会员单位高度重视，本着实事求是的态度，客观完整地填报数据。数据仅作为报告整体分析所用，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单一厂商资料将严格保密，绝不对外提供。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27"/>
        <w:jc w:val="left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5、资料回馈：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凡填答问卷并寄送回复者，将赠送本年度产业调查报告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，百强企业将优先获得专精特新及正面清单企业的推荐资格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并在行业媒体上进行表彰宣传，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以表感谢。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敬请广东省内各PCB企业给予积极支持、配合，共同推动产业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高质量</w:t>
      </w:r>
      <w:r>
        <w:rPr>
          <w:rFonts w:hint="eastAsia" w:ascii="仿宋" w:hAnsi="仿宋" w:eastAsia="仿宋" w:cs="仿宋"/>
          <w:bCs/>
          <w:sz w:val="28"/>
          <w:szCs w:val="28"/>
        </w:rPr>
        <w:t>发展！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52" w:lineRule="auto"/>
        <w:ind w:firstLine="527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广东省电路板行业协会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深圳市线路板行业协会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1：广东省PCB产业状况问卷调查表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附件2：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PCB企业环保工艺、原辅料替代专项调研</w:t>
      </w:r>
      <w:r>
        <w:rPr>
          <w:rFonts w:hint="eastAsia"/>
          <w:lang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spacing w:before="156" w:beforeLines="50" w:after="156" w:afterLines="50" w:line="0" w:lineRule="atLeast"/>
        <w:ind w:left="-181"/>
        <w:jc w:val="center"/>
        <w:rPr>
          <w:rFonts w:hint="eastAsia" w:ascii="PMingLiU" w:hAnsi="PMingLiU"/>
          <w:b/>
          <w:u w:val="wave"/>
          <w:shd w:val="pct10" w:color="auto" w:fill="FFFFFF"/>
        </w:rPr>
      </w:pPr>
      <w:r>
        <w:rPr>
          <w:rFonts w:hint="eastAsia" w:ascii="PMingLiU" w:hAnsi="PMingLiU"/>
          <w:b/>
          <w:sz w:val="48"/>
          <w:szCs w:val="36"/>
          <w:u w:val="wave"/>
          <w:shd w:val="pct10" w:color="auto" w:fill="FFFFFF"/>
        </w:rPr>
        <w:t>广东PCB产业状况问卷调查表</w:t>
      </w:r>
      <w:r>
        <w:rPr>
          <w:rFonts w:hint="eastAsia" w:ascii="PMingLiU" w:hAnsi="PMingLiU"/>
          <w:b/>
          <w:u w:val="wave"/>
          <w:shd w:val="pct10" w:color="auto" w:fill="FFFFFF"/>
        </w:rPr>
        <w:t>（202</w:t>
      </w:r>
      <w:r>
        <w:rPr>
          <w:rFonts w:hint="eastAsia" w:ascii="PMingLiU" w:hAnsi="PMingLiU"/>
          <w:b/>
          <w:u w:val="wave"/>
          <w:shd w:val="pct10" w:color="auto" w:fill="FFFFFF"/>
          <w:lang w:val="en-US" w:eastAsia="zh-CN"/>
        </w:rPr>
        <w:t>2</w:t>
      </w:r>
      <w:r>
        <w:rPr>
          <w:rFonts w:hint="eastAsia" w:ascii="PMingLiU" w:hAnsi="PMingLiU"/>
          <w:b/>
          <w:u w:val="wave"/>
          <w:shd w:val="pct10" w:color="auto" w:fill="FFFFFF"/>
        </w:rPr>
        <w:t>年度）</w:t>
      </w:r>
    </w:p>
    <w:p>
      <w:pPr>
        <w:spacing w:line="360" w:lineRule="exact"/>
        <w:jc w:val="center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广东省电路板行业协会(GPCA)/深圳市线路板行业协会(SPCA)</w:t>
      </w:r>
    </w:p>
    <w:tbl>
      <w:tblPr>
        <w:tblStyle w:val="8"/>
        <w:tblW w:w="10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84"/>
        <w:gridCol w:w="870"/>
        <w:gridCol w:w="360"/>
        <w:gridCol w:w="154"/>
        <w:gridCol w:w="971"/>
        <w:gridCol w:w="179"/>
        <w:gridCol w:w="721"/>
        <w:gridCol w:w="900"/>
        <w:gridCol w:w="60"/>
        <w:gridCol w:w="3"/>
        <w:gridCol w:w="672"/>
        <w:gridCol w:w="75"/>
        <w:gridCol w:w="231"/>
        <w:gridCol w:w="426"/>
        <w:gridCol w:w="153"/>
        <w:gridCol w:w="517"/>
        <w:gridCol w:w="512"/>
        <w:gridCol w:w="223"/>
        <w:gridCol w:w="361"/>
        <w:gridCol w:w="427"/>
        <w:gridCol w:w="673"/>
        <w:gridCol w:w="31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64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表一 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单位名称（盖章）</w:t>
            </w:r>
          </w:p>
        </w:tc>
        <w:tc>
          <w:tcPr>
            <w:tcW w:w="2988" w:type="dxa"/>
            <w:gridSpan w:val="7"/>
            <w:noWrap w:val="0"/>
            <w:vAlign w:val="top"/>
          </w:tcPr>
          <w:p/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3962" w:type="dxa"/>
            <w:gridSpan w:val="9"/>
            <w:noWrap w:val="0"/>
            <w:vAlign w:val="center"/>
          </w:tcPr>
          <w:p>
            <w:pPr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国有 </w:t>
            </w:r>
            <w:r>
              <w:rPr>
                <w:rFonts w:hint="eastAsia" w:ascii="PMingLiU" w:hAnsi="PMingLiU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民营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港资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台资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>外资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合资（内资控股）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PMingLiU" w:hAnsi="PMingLiU"/>
                <w:color w:val="000000"/>
                <w:szCs w:val="21"/>
              </w:rPr>
              <w:t xml:space="preserve">合资（外资控股）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/>
              <w:rPr>
                <w:rFonts w:ascii="PMingLiU" w:hAnsi="PMingLiU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</w:tc>
        <w:tc>
          <w:tcPr>
            <w:tcW w:w="5366" w:type="dxa"/>
            <w:gridSpan w:val="13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/>
              <w:jc w:val="left"/>
              <w:rPr>
                <w:rFonts w:hint="eastAsia" w:ascii="PMingLiU" w:hAnsi="PMingLiU" w:eastAsia="宋体"/>
                <w:color w:val="000000"/>
                <w:sz w:val="21"/>
                <w:szCs w:val="21"/>
              </w:rPr>
            </w:pPr>
            <w:r>
              <w:rPr>
                <w:rFonts w:hint="eastAsia" w:ascii="PMingLiU" w:hAnsi="PMingLiU" w:eastAsia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PMingLiU" w:hAnsi="PMingLiU" w:eastAsia="宋体"/>
                <w:color w:val="000000"/>
                <w:sz w:val="21"/>
                <w:szCs w:val="21"/>
              </w:rPr>
              <w:t xml:space="preserve">国家高新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□专精特新</w:t>
            </w:r>
            <w:r>
              <w:rPr>
                <w:rFonts w:hint="eastAsia" w:ascii="PMingLiU" w:hAnsi="PMingLiU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□省/市知名品牌 □</w:t>
            </w:r>
            <w:r>
              <w:rPr>
                <w:rFonts w:hint="eastAsia" w:ascii="PMingLiU" w:hAnsi="PMingLiU" w:eastAsia="宋体"/>
                <w:color w:val="000000"/>
                <w:sz w:val="21"/>
                <w:szCs w:val="21"/>
              </w:rPr>
              <w:t>其他____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厂房面积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月产能</w:t>
            </w:r>
          </w:p>
        </w:tc>
        <w:tc>
          <w:tcPr>
            <w:tcW w:w="2557" w:type="dxa"/>
            <w:gridSpan w:val="5"/>
            <w:noWrap w:val="0"/>
            <w:vAlign w:val="top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总部地址</w:t>
            </w:r>
          </w:p>
        </w:tc>
        <w:tc>
          <w:tcPr>
            <w:tcW w:w="4392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公司官网</w:t>
            </w:r>
          </w:p>
        </w:tc>
        <w:tc>
          <w:tcPr>
            <w:tcW w:w="2557" w:type="dxa"/>
            <w:gridSpan w:val="5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rPr>
                <w:rFonts w:ascii="PMingLiU" w:hAnsi="PMingLiU"/>
                <w:b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信息填报人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57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Garamond" w:eastAsia="黑体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rPr>
                <w:rFonts w:ascii="PMingLiU" w:hAnsi="PMingLiU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202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年营收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年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营业利润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 w:ascii="黑体" w:hAnsi="Garamond" w:eastAsia="黑体"/>
                <w:color w:val="auto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黑体" w:hAnsi="Garamond" w:eastAsia="黑体"/>
                <w:color w:val="auto"/>
                <w:sz w:val="21"/>
                <w:szCs w:val="21"/>
              </w:rPr>
              <w:t>外销产值占比（%）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64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表二 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964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Garamond" w:eastAsia="黑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Garamond" w:eastAsia="黑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Garamond" w:eastAsia="黑体"/>
                <w:b/>
                <w:bCs/>
                <w:color w:val="000000"/>
                <w:kern w:val="0"/>
                <w:sz w:val="24"/>
              </w:rPr>
              <w:t>年公司PCB整体营运概况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64" w:type="dxa"/>
            <w:gridSpan w:val="5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/>
              </w:rPr>
            </w:pPr>
            <w:r>
              <w:rPr>
                <w:rFonts w:hint="eastAsia" w:ascii="黑体" w:hAnsi="Garamond" w:eastAsia="黑体"/>
                <w:color w:val="000000"/>
                <w:sz w:val="22"/>
                <w:szCs w:val="22"/>
              </w:rPr>
              <w:t>总产量（平方米）</w:t>
            </w:r>
          </w:p>
        </w:tc>
        <w:tc>
          <w:tcPr>
            <w:tcW w:w="2834" w:type="dxa"/>
            <w:gridSpan w:val="6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sz w:val="22"/>
                <w:szCs w:val="22"/>
              </w:rPr>
              <w:t>总营收（万元）</w:t>
            </w:r>
          </w:p>
        </w:tc>
        <w:tc>
          <w:tcPr>
            <w:tcW w:w="2586" w:type="dxa"/>
            <w:gridSpan w:val="7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sz w:val="22"/>
                <w:szCs w:val="22"/>
              </w:rPr>
              <w:t>营业利润（万元）</w:t>
            </w: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sz w:val="22"/>
                <w:szCs w:val="22"/>
              </w:rPr>
              <w:t>外销产值占比（%）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764" w:type="dxa"/>
            <w:gridSpan w:val="5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6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</w:p>
        </w:tc>
        <w:tc>
          <w:tcPr>
            <w:tcW w:w="2586" w:type="dxa"/>
            <w:gridSpan w:val="7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/>
              </w:rPr>
            </w:pP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64" w:type="dxa"/>
            <w:gridSpan w:val="24"/>
            <w:noWrap w:val="0"/>
            <w:vAlign w:val="center"/>
          </w:tcPr>
          <w:p>
            <w:pPr>
              <w:pStyle w:val="14"/>
              <w:snapToGrid w:val="0"/>
              <w:spacing w:line="240" w:lineRule="auto"/>
              <w:ind w:left="0" w:right="19" w:rightChars="9"/>
              <w:jc w:val="center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sz w:val="24"/>
                <w:szCs w:val="24"/>
              </w:rPr>
              <w:t>如省内外有多个生产基地，请继续填写下表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7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生产基地1：</w:t>
            </w:r>
          </w:p>
        </w:tc>
        <w:tc>
          <w:tcPr>
            <w:tcW w:w="46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生产基地2：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27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主导产品：</w:t>
            </w:r>
          </w:p>
        </w:tc>
        <w:tc>
          <w:tcPr>
            <w:tcW w:w="46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主导产品：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产量（平方米）</w:t>
            </w:r>
          </w:p>
        </w:tc>
        <w:tc>
          <w:tcPr>
            <w:tcW w:w="2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营收（万元）</w:t>
            </w: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产量(平方米)</w:t>
            </w: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营收（万元）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3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7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生产基地3：</w:t>
            </w:r>
          </w:p>
        </w:tc>
        <w:tc>
          <w:tcPr>
            <w:tcW w:w="46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生产基地4：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27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主导产品：</w:t>
            </w:r>
          </w:p>
        </w:tc>
        <w:tc>
          <w:tcPr>
            <w:tcW w:w="46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主导产品：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产量（平方米）</w:t>
            </w:r>
          </w:p>
        </w:tc>
        <w:tc>
          <w:tcPr>
            <w:tcW w:w="25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营收（万元）</w:t>
            </w: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产量(平方米)</w:t>
            </w: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营收（万元）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73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964" w:type="dxa"/>
            <w:gridSpan w:val="2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表三：企业按产品类别统计营收情况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单双面（含纸基、FR4）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常规多层（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层）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HDI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类载板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载板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软板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软硬板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金属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基板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产量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营收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  <w:lang w:eastAsia="zh-CN"/>
              </w:rPr>
              <w:t>营收</w:t>
            </w:r>
            <w:r>
              <w:rPr>
                <w:rFonts w:hint="eastAsia" w:ascii="PMingLiU" w:hAnsi="PMingLiU"/>
                <w:color w:val="000000"/>
                <w:szCs w:val="21"/>
              </w:rPr>
              <w:t>增长率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废品率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板材利用率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产能利用率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righ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right"/>
              <w:rPr>
                <w:rFonts w:hint="eastAsia" w:ascii="PMingLiU" w:hAnsi="PMingLiU"/>
                <w:color w:val="00000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/>
                <w:color w:val="000000"/>
                <w:kern w:val="0"/>
                <w:szCs w:val="21"/>
              </w:rPr>
            </w:pPr>
            <w:r>
              <w:rPr>
                <w:rFonts w:hint="eastAsia" w:ascii="PMingLiU" w:hAnsi="PMingLiU"/>
                <w:color w:val="000000"/>
                <w:szCs w:val="21"/>
              </w:rPr>
              <w:t>未来一年计划新增产能（</w:t>
            </w:r>
            <w:r>
              <w:rPr>
                <w:rFonts w:hint="eastAsia" w:ascii="PMingLiU" w:hAnsi="PMingLiU"/>
                <w:color w:val="000000"/>
                <w:szCs w:val="21"/>
                <w:lang w:eastAsia="zh-CN"/>
              </w:rPr>
              <w:t>㎡</w:t>
            </w:r>
            <w:r>
              <w:rPr>
                <w:rFonts w:hint="eastAsia" w:ascii="PMingLiU" w:hAnsi="PMingLiU"/>
                <w:color w:val="000000"/>
                <w:szCs w:val="21"/>
              </w:rPr>
              <w:t>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left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964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</w:rPr>
              <w:t>表四：企业按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  <w:lang w:eastAsia="zh-CN"/>
              </w:rPr>
              <w:t>终端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sz w:val="24"/>
              </w:rPr>
              <w:t>应用领域统计营收情况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产品</w:t>
            </w:r>
          </w:p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  <w:t>适用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PMingLiU" w:hAnsi="PMingLiU"/>
                <w:bCs/>
                <w:color w:val="000000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计算机</w:t>
            </w:r>
          </w:p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/电脑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PMingLiU" w:hAnsi="PMingLiU"/>
                <w:bCs/>
                <w:color w:val="000000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服务器</w:t>
            </w:r>
          </w:p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/存储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PMingLiU" w:hAnsi="PMingLiU"/>
                <w:bCs/>
                <w:color w:val="000000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消费</w:t>
            </w:r>
          </w:p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电子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PMingLiU" w:hAnsi="PMingLiU"/>
                <w:bCs/>
                <w:color w:val="000000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通讯类</w:t>
            </w:r>
          </w:p>
          <w:p>
            <w:pPr>
              <w:jc w:val="center"/>
              <w:rPr>
                <w:rFonts w:hint="eastAsia" w:ascii="黑体" w:hAnsi="Garamond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PMingLiU" w:hAnsi="PMingLiU"/>
                <w:bCs/>
                <w:color w:val="000000"/>
                <w:lang w:val="en-US" w:eastAsia="zh-CN"/>
              </w:rPr>
              <w:t>(</w:t>
            </w:r>
            <w:r>
              <w:rPr>
                <w:rFonts w:hint="eastAsia" w:ascii="PMingLiU" w:hAnsi="PMingLiU"/>
                <w:bCs/>
                <w:color w:val="000000"/>
              </w:rPr>
              <w:t>手机</w:t>
            </w:r>
            <w:r>
              <w:rPr>
                <w:rFonts w:hint="eastAsia" w:ascii="PMingLiU" w:hAnsi="PMingLiU"/>
                <w:bCs/>
                <w:color w:val="000000"/>
                <w:lang w:val="en-US" w:eastAsia="zh-CN"/>
              </w:rPr>
              <w:t>)</w:t>
            </w:r>
          </w:p>
        </w:tc>
        <w:tc>
          <w:tcPr>
            <w:tcW w:w="9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PMingLiU" w:hAnsi="PMingLiU"/>
                <w:bCs/>
                <w:color w:val="000000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汽车</w:t>
            </w:r>
          </w:p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电子</w:t>
            </w: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工控</w:t>
            </w: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auto"/>
                <w:highlight w:val="none"/>
                <w:lang w:eastAsia="zh-CN"/>
              </w:rPr>
              <w:t>医疗</w:t>
            </w:r>
            <w:r>
              <w:rPr>
                <w:rFonts w:hint="eastAsia" w:ascii="PMingLiU" w:hAnsi="PMingLiU"/>
                <w:bCs/>
                <w:color w:val="auto"/>
                <w:highlight w:val="none"/>
              </w:rPr>
              <w:t>器械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军</w:t>
            </w:r>
            <w:r>
              <w:rPr>
                <w:rFonts w:hint="eastAsia" w:ascii="PMingLiU" w:hAnsi="PMingLiU"/>
                <w:bCs/>
                <w:color w:val="000000"/>
                <w:lang w:eastAsia="zh-CN"/>
              </w:rPr>
              <w:t>工</w:t>
            </w:r>
            <w:r>
              <w:rPr>
                <w:rFonts w:hint="eastAsia" w:ascii="PMingLiU" w:hAnsi="PMingLiU"/>
                <w:bCs/>
                <w:color w:val="000000"/>
              </w:rPr>
              <w:t>/航空航天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/>
                <w:bCs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Garamond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营收占比（%）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981" w:type="dxa"/>
            <w:gridSpan w:val="4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ascii="PMingLiU" w:hAnsi="PMingLiU"/>
                <w:bCs/>
                <w:color w:val="000000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spacing w:line="400" w:lineRule="exact"/>
        <w:jc w:val="center"/>
        <w:rPr>
          <w:rFonts w:hint="eastAsia" w:ascii="PMingLiU" w:hAnsi="PMingLiU" w:eastAsia="宋体"/>
          <w:b/>
          <w:bCs/>
          <w:u w:val="single"/>
          <w:lang w:eastAsia="zh-CN"/>
        </w:rPr>
      </w:pPr>
      <w:r>
        <w:rPr>
          <w:rFonts w:hint="eastAsia" w:ascii="PMingLiU" w:hAnsi="PMingLiU" w:eastAsia="宋体"/>
          <w:b/>
          <w:bCs/>
          <w:u w:val="single"/>
          <w:lang w:eastAsia="zh-CN"/>
        </w:rPr>
        <w:t>（以下内容为经营环境</w:t>
      </w:r>
      <w:r>
        <w:rPr>
          <w:rFonts w:hint="eastAsia" w:ascii="PMingLiU" w:hAnsi="PMingLiU" w:eastAsia="宋体"/>
          <w:b/>
          <w:bCs/>
          <w:u w:val="single"/>
          <w:lang w:val="en-US" w:eastAsia="zh-CN"/>
        </w:rPr>
        <w:t>类调查</w:t>
      </w:r>
      <w:r>
        <w:rPr>
          <w:rFonts w:hint="eastAsia" w:ascii="PMingLiU" w:hAnsi="PMingLiU" w:eastAsia="宋体"/>
          <w:b/>
          <w:bCs/>
          <w:u w:val="single"/>
          <w:lang w:eastAsia="zh-CN"/>
        </w:rPr>
        <w:t>项目，请配合填写，谢谢！）</w:t>
      </w:r>
    </w:p>
    <w:p>
      <w:pPr>
        <w:rPr>
          <w:rFonts w:hint="eastAsia"/>
          <w:lang w:eastAsia="zh-CN"/>
        </w:rPr>
      </w:pPr>
    </w:p>
    <w:p>
      <w:pPr>
        <w:spacing w:line="480" w:lineRule="auto"/>
        <w:rPr>
          <w:rFonts w:hint="eastAsia" w:ascii="PMingLiU" w:hAnsi="PMingLiU" w:eastAsia="宋体"/>
          <w:b/>
          <w:lang w:eastAsia="zh-CN"/>
        </w:rPr>
      </w:pPr>
      <w:r>
        <w:rPr>
          <w:rFonts w:hint="eastAsia" w:ascii="PMingLiU" w:hAnsi="PMingLiU" w:eastAsia="宋体"/>
          <w:b/>
          <w:sz w:val="24"/>
          <w:szCs w:val="24"/>
          <w:lang w:eastAsia="zh-CN"/>
        </w:rPr>
        <w:t>一、</w:t>
      </w:r>
      <w:r>
        <w:rPr>
          <w:rFonts w:hint="eastAsia" w:ascii="PMingLiU" w:hAnsi="PMingLiU"/>
          <w:b/>
          <w:sz w:val="24"/>
          <w:szCs w:val="24"/>
          <w:lang w:val="en-US" w:eastAsia="zh-CN"/>
        </w:rPr>
        <w:t>2022年</w:t>
      </w:r>
      <w:r>
        <w:rPr>
          <w:rFonts w:hint="eastAsia" w:ascii="PMingLiU" w:hAnsi="PMingLiU" w:eastAsia="宋体"/>
          <w:b/>
          <w:sz w:val="24"/>
          <w:szCs w:val="24"/>
          <w:lang w:eastAsia="zh-CN"/>
        </w:rPr>
        <w:t>外迁情况或</w:t>
      </w:r>
      <w:r>
        <w:rPr>
          <w:rFonts w:hint="eastAsia" w:ascii="PMingLiU" w:hAnsi="PMingLiU"/>
          <w:b/>
          <w:sz w:val="24"/>
          <w:szCs w:val="24"/>
          <w:lang w:val="en-US" w:eastAsia="zh-CN"/>
        </w:rPr>
        <w:t>2023年</w:t>
      </w:r>
      <w:r>
        <w:rPr>
          <w:rFonts w:hint="eastAsia" w:ascii="PMingLiU" w:hAnsi="PMingLiU" w:eastAsia="宋体"/>
          <w:b/>
          <w:sz w:val="24"/>
          <w:szCs w:val="24"/>
          <w:lang w:eastAsia="zh-CN"/>
        </w:rPr>
        <w:t>投资计划</w:t>
      </w:r>
      <w:r>
        <w:rPr>
          <w:rFonts w:hint="eastAsia" w:ascii="PMingLiU" w:hAnsi="PMingLiU"/>
          <w:b/>
          <w:sz w:val="24"/>
          <w:szCs w:val="24"/>
          <w:lang w:eastAsia="zh-CN"/>
        </w:rPr>
        <w:t>（含海外投资计划）</w:t>
      </w:r>
      <w:r>
        <w:rPr>
          <w:rFonts w:hint="eastAsia" w:ascii="PMingLiU" w:hAnsi="PMingLiU" w:eastAsia="宋体"/>
          <w:b/>
          <w:sz w:val="24"/>
          <w:szCs w:val="24"/>
          <w:lang w:eastAsia="zh-CN"/>
        </w:rPr>
        <w:t>：　</w:t>
      </w:r>
      <w:r>
        <w:rPr>
          <w:rFonts w:hint="eastAsia" w:ascii="PMingLiU" w:hAnsi="PMingLiU" w:eastAsia="宋体"/>
          <w:b/>
          <w:lang w:eastAsia="zh-CN"/>
        </w:rPr>
        <w:t>　</w:t>
      </w:r>
    </w:p>
    <w:p>
      <w:pPr>
        <w:spacing w:line="48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lang w:eastAsia="zh-CN"/>
        </w:rPr>
        <w:t>年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 w:eastAsia="zh-CN"/>
        </w:rPr>
        <w:t>月计划</w:t>
      </w:r>
      <w:r>
        <w:rPr>
          <w:rFonts w:hint="eastAsia" w:ascii="宋体" w:hAnsi="宋体" w:eastAsia="宋体"/>
          <w:lang w:eastAsia="zh-CN"/>
        </w:rPr>
        <w:t>迁往</w:t>
      </w:r>
      <w:r>
        <w:rPr>
          <w:rFonts w:hint="eastAsia" w:ascii="宋体" w:hAnsi="宋体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lang w:eastAsia="zh-CN"/>
        </w:rPr>
        <w:t>国</w:t>
      </w:r>
      <w:r>
        <w:rPr>
          <w:rFonts w:hint="eastAsia" w:ascii="宋体" w:hAnsi="宋体" w:eastAsia="宋体"/>
          <w:u w:val="single"/>
          <w:lang w:eastAsia="zh-CN"/>
        </w:rPr>
        <w:t xml:space="preserve">       </w:t>
      </w:r>
      <w:r>
        <w:rPr>
          <w:rFonts w:hint="eastAsia" w:ascii="宋体" w:hAnsi="宋体" w:eastAsia="宋体"/>
          <w:lang w:eastAsia="zh-CN"/>
        </w:rPr>
        <w:t>省</w:t>
      </w:r>
      <w:r>
        <w:rPr>
          <w:rFonts w:hint="eastAsia" w:ascii="宋体" w:hAnsi="宋体" w:eastAsia="宋体"/>
          <w:u w:val="single"/>
          <w:lang w:eastAsia="zh-CN"/>
        </w:rPr>
        <w:t xml:space="preserve">      </w:t>
      </w:r>
      <w:r>
        <w:rPr>
          <w:rFonts w:hint="eastAsia" w:ascii="宋体" w:hAnsi="宋体" w:eastAsia="宋体"/>
          <w:lang w:eastAsia="zh-CN"/>
        </w:rPr>
        <w:t>市，在</w:t>
      </w:r>
      <w:r>
        <w:rPr>
          <w:rFonts w:hint="eastAsia" w:ascii="宋体" w:hAnsi="宋体" w:eastAsia="宋体"/>
          <w:lang w:val="en-US" w:eastAsia="zh-CN"/>
        </w:rPr>
        <w:t>深圳</w:t>
      </w:r>
      <w:r>
        <w:rPr>
          <w:rFonts w:hint="eastAsia" w:ascii="宋体" w:hAnsi="宋体" w:eastAsia="宋体"/>
          <w:lang w:eastAsia="zh-CN"/>
        </w:rPr>
        <w:t>保留</w:t>
      </w:r>
      <w:r>
        <w:rPr>
          <w:rFonts w:hint="eastAsia" w:ascii="宋体" w:hAnsi="宋体" w:eastAsia="宋体"/>
          <w:u w:val="single"/>
          <w:lang w:eastAsia="zh-CN"/>
        </w:rPr>
        <w:t xml:space="preserve">                  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spacing w:line="48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在当地□购买/□租用土地面积</w:t>
      </w:r>
      <w:r>
        <w:rPr>
          <w:rFonts w:hint="eastAsia" w:ascii="宋体" w:hAnsi="宋体" w:eastAsia="宋体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single"/>
          <w:lang w:eastAsia="zh-CN"/>
        </w:rPr>
        <w:t xml:space="preserve">      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计划</w:t>
      </w:r>
      <w:r>
        <w:rPr>
          <w:rFonts w:hint="eastAsia" w:ascii="宋体" w:hAnsi="宋体" w:eastAsia="宋体"/>
          <w:lang w:eastAsia="zh-CN"/>
        </w:rPr>
        <w:t>建筑面积</w:t>
      </w:r>
      <w:r>
        <w:rPr>
          <w:rFonts w:hint="eastAsia" w:ascii="宋体" w:hAnsi="宋体" w:eastAsia="宋体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single"/>
          <w:lang w:eastAsia="zh-CN"/>
        </w:rPr>
        <w:t xml:space="preserve">      </w:t>
      </w:r>
      <w:r>
        <w:rPr>
          <w:rFonts w:hint="eastAsia" w:ascii="宋体" w:hAnsi="宋体" w:eastAsia="宋体"/>
          <w:lang w:eastAsia="zh-CN"/>
        </w:rPr>
        <w:t xml:space="preserve"> ；</w:t>
      </w:r>
    </w:p>
    <w:p>
      <w:pPr>
        <w:spacing w:line="48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计划产品类型包括：</w:t>
      </w:r>
      <w:r>
        <w:rPr>
          <w:rFonts w:hint="eastAsia" w:ascii="宋体" w:hAnsi="宋体" w:eastAsia="宋体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single"/>
          <w:lang w:eastAsia="zh-CN"/>
        </w:rPr>
        <w:t xml:space="preserve">      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年产</w:t>
      </w:r>
      <w:r>
        <w:rPr>
          <w:rFonts w:hint="eastAsia" w:ascii="宋体" w:hAnsi="宋体"/>
          <w:lang w:val="en-US" w:eastAsia="zh-CN"/>
        </w:rPr>
        <w:t>能</w:t>
      </w:r>
      <w:r>
        <w:rPr>
          <w:rFonts w:hint="eastAsia" w:ascii="宋体" w:hAnsi="宋体" w:eastAsia="宋体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lang w:eastAsia="zh-CN"/>
        </w:rPr>
        <w:t>；年产值</w:t>
      </w:r>
      <w:r>
        <w:rPr>
          <w:rFonts w:hint="eastAsia" w:ascii="宋体" w:hAnsi="宋体" w:eastAsia="宋体"/>
          <w:u w:val="single"/>
          <w:lang w:eastAsia="zh-CN"/>
        </w:rPr>
        <w:t xml:space="preserve">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eastAsia="zh-CN"/>
        </w:rPr>
        <w:t xml:space="preserve">    </w:t>
      </w:r>
      <w:r>
        <w:rPr>
          <w:rFonts w:hint="eastAsia" w:ascii="宋体" w:hAnsi="宋体" w:eastAsia="宋体"/>
          <w:lang w:eastAsia="zh-CN"/>
        </w:rPr>
        <w:t>万元。</w:t>
      </w:r>
    </w:p>
    <w:p>
      <w:pPr>
        <w:spacing w:line="480" w:lineRule="auto"/>
        <w:rPr>
          <w:rFonts w:hint="eastAsia" w:ascii="PMingLiU" w:hAnsi="PMingLiU" w:eastAsia="宋体"/>
          <w:b/>
          <w:sz w:val="24"/>
          <w:szCs w:val="24"/>
          <w:lang w:eastAsia="zh-CN"/>
        </w:rPr>
      </w:pPr>
      <w:r>
        <w:rPr>
          <w:rFonts w:hint="eastAsia" w:ascii="PMingLiU" w:hAnsi="PMingLiU" w:eastAsia="宋体"/>
          <w:b/>
          <w:sz w:val="24"/>
          <w:szCs w:val="24"/>
          <w:lang w:eastAsia="zh-CN"/>
        </w:rPr>
        <w:t>二、企业</w:t>
      </w:r>
      <w:r>
        <w:rPr>
          <w:rFonts w:hint="eastAsia" w:ascii="PMingLiU" w:hAnsi="PMingLiU"/>
          <w:b/>
          <w:sz w:val="24"/>
          <w:szCs w:val="24"/>
          <w:lang w:val="en-US" w:eastAsia="zh-CN"/>
        </w:rPr>
        <w:t>2022年</w:t>
      </w:r>
      <w:r>
        <w:rPr>
          <w:rFonts w:hint="eastAsia" w:ascii="PMingLiU" w:hAnsi="PMingLiU" w:eastAsia="宋体"/>
          <w:b/>
          <w:sz w:val="24"/>
          <w:szCs w:val="24"/>
          <w:lang w:eastAsia="zh-CN"/>
        </w:rPr>
        <w:t>资本投资</w:t>
      </w:r>
      <w:r>
        <w:rPr>
          <w:rFonts w:hint="eastAsia" w:ascii="PMingLiU" w:hAnsi="PMingLiU" w:eastAsia="宋体"/>
          <w:b/>
          <w:sz w:val="24"/>
          <w:szCs w:val="24"/>
          <w:lang w:val="en-US" w:eastAsia="zh-CN"/>
        </w:rPr>
        <w:t>支出</w:t>
      </w:r>
      <w:r>
        <w:rPr>
          <w:rFonts w:hint="eastAsia" w:ascii="PMingLiU" w:hAnsi="PMingLiU" w:eastAsia="宋体"/>
          <w:b/>
          <w:sz w:val="24"/>
          <w:szCs w:val="24"/>
          <w:lang w:eastAsia="zh-CN"/>
        </w:rPr>
        <w:t>方向：</w:t>
      </w:r>
    </w:p>
    <w:p>
      <w:pPr>
        <w:spacing w:line="480" w:lineRule="auto"/>
        <w:ind w:firstLine="465"/>
        <w:rPr>
          <w:rFonts w:hint="eastAsia" w:ascii="PMingLiU" w:hAnsi="PMingLiU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>厂房加建________%</w:t>
      </w:r>
      <w:r>
        <w:rPr>
          <w:rFonts w:hint="eastAsia" w:ascii="PMingLiU" w:hAnsi="PMingLiU" w:eastAsia="宋体"/>
          <w:lang w:eastAsia="zh-CN"/>
        </w:rPr>
        <w:tab/>
      </w:r>
      <w:r>
        <w:rPr>
          <w:rFonts w:hint="eastAsia" w:ascii="宋体" w:hAnsi="宋体" w:eastAsia="宋体"/>
          <w:lang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 xml:space="preserve">新购土地________% </w:t>
      </w:r>
      <w:r>
        <w:rPr>
          <w:rFonts w:hint="eastAsia" w:ascii="PMingLiU" w:hAnsi="PMingLiU" w:eastAsia="宋体"/>
          <w:lang w:eastAsia="zh-CN"/>
        </w:rPr>
        <w:tab/>
      </w:r>
      <w:r>
        <w:rPr>
          <w:rFonts w:hint="eastAsia" w:ascii="宋体" w:hAnsi="宋体" w:eastAsia="宋体"/>
          <w:lang w:eastAsia="zh-CN"/>
        </w:rPr>
        <w:t>□</w:t>
      </w:r>
      <w:r>
        <w:rPr>
          <w:rFonts w:hint="eastAsia" w:ascii="PMingLiU" w:hAnsi="PMingLiU" w:eastAsia="宋体"/>
          <w:lang w:eastAsia="zh-CN"/>
        </w:rPr>
        <w:t xml:space="preserve">买/兴建新厂________%      </w:t>
      </w:r>
      <w:r>
        <w:rPr>
          <w:rFonts w:hint="eastAsia" w:ascii="PMingLiU" w:hAnsi="PMingLiU" w:eastAsia="宋体"/>
          <w:lang w:eastAsia="zh-CN"/>
        </w:rPr>
        <w:tab/>
      </w:r>
      <w:r>
        <w:rPr>
          <w:rFonts w:hint="eastAsia" w:ascii="PMingLiU" w:hAnsi="PMingLiU" w:eastAsia="宋体"/>
          <w:lang w:eastAsia="zh-CN"/>
        </w:rPr>
        <w:t xml:space="preserve"> </w:t>
      </w:r>
      <w:r>
        <w:rPr>
          <w:rFonts w:hint="eastAsia" w:ascii="PMingLiU" w:hAnsi="PMingLiU" w:eastAsia="宋体"/>
          <w:lang w:eastAsia="zh-CN"/>
        </w:rPr>
        <w:tab/>
      </w:r>
    </w:p>
    <w:p>
      <w:pPr>
        <w:spacing w:line="480" w:lineRule="auto"/>
        <w:ind w:firstLine="465"/>
        <w:rPr>
          <w:rFonts w:hint="eastAsia" w:ascii="PMingLiU" w:hAnsi="PMingLiU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 xml:space="preserve">扩展产能 ________% </w:t>
      </w:r>
      <w:r>
        <w:rPr>
          <w:rFonts w:hint="eastAsia" w:ascii="PMingLiU" w:hAnsi="PMingLiU"/>
          <w:lang w:val="en-US" w:eastAsia="zh-CN"/>
        </w:rPr>
        <w:t xml:space="preserve"> </w:t>
      </w:r>
      <w:r>
        <w:rPr>
          <w:rFonts w:hint="eastAsia" w:ascii="宋体" w:hAnsi="宋体" w:eastAsia="宋体"/>
          <w:lang w:eastAsia="zh-CN"/>
        </w:rPr>
        <w:t>□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PMingLiU" w:hAnsi="PMingLiU" w:eastAsia="宋体"/>
          <w:lang w:eastAsia="zh-CN"/>
        </w:rPr>
        <w:t>新增设备(钻机以外机械)________%</w:t>
      </w:r>
      <w:r>
        <w:rPr>
          <w:rFonts w:hint="eastAsia" w:ascii="PMingLiU" w:hAnsi="PMingLiU" w:eastAsia="宋体"/>
          <w:lang w:val="en-US" w:eastAsia="zh-CN"/>
        </w:rPr>
        <w:t xml:space="preserve"> </w:t>
      </w:r>
      <w:r>
        <w:rPr>
          <w:rFonts w:hint="eastAsia" w:ascii="宋体" w:hAnsi="宋体"/>
          <w:lang w:eastAsia="zh-CN"/>
        </w:rPr>
        <w:t>□</w:t>
      </w:r>
      <w:r>
        <w:rPr>
          <w:rFonts w:hint="eastAsia" w:ascii="PMingLiU" w:hAnsi="PMingLiU" w:eastAsia="宋体"/>
          <w:lang w:eastAsia="zh-CN"/>
        </w:rPr>
        <w:t xml:space="preserve">新增环保设备________%  </w:t>
      </w:r>
    </w:p>
    <w:p>
      <w:pPr>
        <w:spacing w:line="480" w:lineRule="auto"/>
        <w:ind w:firstLine="465"/>
        <w:rPr>
          <w:rFonts w:hint="eastAsia" w:ascii="PMingLiU" w:hAnsi="PMingLiU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 xml:space="preserve">更换设备________% </w:t>
      </w:r>
      <w:r>
        <w:rPr>
          <w:rFonts w:hint="eastAsia" w:ascii="PMingLiU" w:hAnsi="PMingLiU"/>
          <w:lang w:val="en-US" w:eastAsia="zh-CN"/>
        </w:rPr>
        <w:t xml:space="preserve"> </w:t>
      </w:r>
      <w:r>
        <w:rPr>
          <w:rFonts w:hint="eastAsia" w:ascii="PMingLiU" w:hAnsi="PMingLiU" w:eastAsia="宋体"/>
          <w:lang w:val="en-US" w:eastAsia="zh-CN"/>
        </w:rPr>
        <w:t xml:space="preserve"> </w:t>
      </w:r>
      <w:r>
        <w:rPr>
          <w:rFonts w:hint="eastAsia" w:ascii="PMingLiU" w:hAnsi="PMingLiU"/>
          <w:lang w:val="en-US"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 xml:space="preserve">新增机械钻机() ________% </w:t>
      </w:r>
      <w:r>
        <w:rPr>
          <w:rFonts w:hint="eastAsia" w:ascii="PMingLiU" w:hAnsi="PMingLiU" w:eastAsia="宋体"/>
          <w:lang w:val="en-US" w:eastAsia="zh-CN"/>
        </w:rPr>
        <w:t xml:space="preserve"> </w:t>
      </w:r>
      <w:r>
        <w:rPr>
          <w:rFonts w:hint="eastAsia" w:ascii="宋体" w:hAnsi="宋体" w:eastAsia="宋体"/>
          <w:lang w:eastAsia="zh-CN"/>
        </w:rPr>
        <w:t>□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PMingLiU" w:hAnsi="PMingLiU" w:eastAsia="宋体"/>
          <w:lang w:eastAsia="zh-CN"/>
        </w:rPr>
        <w:t xml:space="preserve">新增激光钻机 ________% </w:t>
      </w:r>
    </w:p>
    <w:p>
      <w:pPr>
        <w:spacing w:line="480" w:lineRule="auto"/>
        <w:ind w:firstLine="465"/>
        <w:rPr>
          <w:rFonts w:hint="eastAsia" w:ascii="PMingLiU" w:hAnsi="PMingLiU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□ </w:t>
      </w:r>
      <w:r>
        <w:rPr>
          <w:rFonts w:hint="eastAsia" w:ascii="PMingLiU" w:hAnsi="PMingLiU" w:eastAsia="宋体"/>
          <w:lang w:eastAsia="zh-CN"/>
        </w:rPr>
        <w:t xml:space="preserve">其他:___________________% </w:t>
      </w:r>
      <w:r>
        <w:rPr>
          <w:rFonts w:hint="eastAsia" w:ascii="PMingLiU" w:hAnsi="PMingLiU" w:eastAsia="宋体"/>
          <w:lang w:eastAsia="zh-CN"/>
        </w:rPr>
        <w:tab/>
      </w:r>
      <w:r>
        <w:rPr>
          <w:rFonts w:hint="eastAsia" w:ascii="PMingLiU" w:hAnsi="PMingLiU" w:eastAsia="宋体"/>
          <w:lang w:eastAsia="zh-CN"/>
        </w:rPr>
        <w:t>**本项合计: 100 %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PMingLiU" w:hAnsi="PMingLiU"/>
          <w:b/>
          <w:sz w:val="24"/>
        </w:rPr>
      </w:pPr>
      <w:r>
        <w:rPr>
          <w:rFonts w:hint="eastAsia" w:ascii="PMingLiU" w:hAnsi="PMingLiU"/>
          <w:b/>
          <w:sz w:val="24"/>
          <w:lang w:eastAsia="zh-CN"/>
        </w:rPr>
        <w:t>三、</w:t>
      </w:r>
      <w:r>
        <w:rPr>
          <w:rFonts w:hint="eastAsia" w:ascii="PMingLiU" w:hAnsi="PMingLiU"/>
          <w:b/>
          <w:sz w:val="24"/>
        </w:rPr>
        <w:t>问题与建议</w:t>
      </w:r>
      <w:r>
        <w:rPr>
          <w:rFonts w:hint="eastAsia" w:ascii="PMingLiU" w:hAnsi="PMingLiU"/>
          <w:b/>
          <w:sz w:val="24"/>
          <w:lang w:eastAsia="zh-CN"/>
        </w:rPr>
        <w:t>（</w:t>
      </w:r>
      <w:r>
        <w:rPr>
          <w:rFonts w:hint="eastAsia" w:ascii="PMingLiU" w:hAnsi="PMingLiU"/>
          <w:b/>
          <w:sz w:val="24"/>
        </w:rPr>
        <w:t>可另附资料</w:t>
      </w:r>
      <w:r>
        <w:rPr>
          <w:rFonts w:hint="eastAsia" w:ascii="PMingLiU" w:hAnsi="PMingLiU"/>
          <w:b/>
          <w:sz w:val="24"/>
          <w:lang w:eastAsia="zh-CN"/>
        </w:rPr>
        <w:t>）</w:t>
      </w:r>
    </w:p>
    <w:p>
      <w:pPr>
        <w:spacing w:line="400" w:lineRule="exact"/>
        <w:rPr>
          <w:rFonts w:ascii="PMingLiU" w:hAnsi="PMingLiU"/>
          <w:bCs/>
          <w:sz w:val="24"/>
        </w:rPr>
      </w:pPr>
      <w:r>
        <w:rPr>
          <w:rFonts w:hint="eastAsia" w:ascii="PMingLiU" w:hAnsi="PMingLiU"/>
          <w:bCs/>
          <w:sz w:val="24"/>
        </w:rPr>
        <w:t>　　1</w:t>
      </w:r>
      <w:r>
        <w:rPr>
          <w:rFonts w:hint="eastAsia" w:ascii="PMingLiU" w:hAnsi="PMingLiU"/>
          <w:bCs/>
          <w:sz w:val="24"/>
          <w:lang w:val="en-US" w:eastAsia="zh-CN"/>
        </w:rPr>
        <w:t xml:space="preserve">. </w:t>
      </w:r>
      <w:r>
        <w:rPr>
          <w:rFonts w:hint="eastAsia" w:ascii="PMingLiU" w:hAnsi="PMingLiU"/>
          <w:bCs/>
          <w:sz w:val="24"/>
        </w:rPr>
        <w:t>政策与法规对行业、企业的影响方面</w:t>
      </w:r>
    </w:p>
    <w:tbl>
      <w:tblPr>
        <w:tblStyle w:val="8"/>
        <w:tblW w:w="10650" w:type="dxa"/>
        <w:tblInd w:w="-43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45"/>
        <w:gridCol w:w="54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5245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  <w:t>问题与困难</w:t>
            </w:r>
          </w:p>
        </w:tc>
        <w:tc>
          <w:tcPr>
            <w:tcW w:w="5405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建议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3" w:hRule="atLeast"/>
        </w:trPr>
        <w:tc>
          <w:tcPr>
            <w:tcW w:w="5245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PMingLiU" w:hAnsi="PMingLiU"/>
          <w:bCs/>
          <w:sz w:val="24"/>
        </w:rPr>
      </w:pPr>
      <w:r>
        <w:rPr>
          <w:rFonts w:hint="eastAsia" w:ascii="PMingLiU" w:hAnsi="PMingLiU"/>
          <w:bCs/>
          <w:sz w:val="24"/>
        </w:rPr>
        <w:br w:type="page"/>
      </w:r>
    </w:p>
    <w:p>
      <w:pPr>
        <w:numPr>
          <w:ilvl w:val="0"/>
          <w:numId w:val="1"/>
        </w:numPr>
        <w:spacing w:line="400" w:lineRule="exact"/>
        <w:rPr>
          <w:rFonts w:ascii="PMingLiU" w:hAnsi="PMingLiU"/>
          <w:bCs/>
          <w:sz w:val="24"/>
        </w:rPr>
      </w:pPr>
      <w:r>
        <w:rPr>
          <w:rFonts w:hint="eastAsia" w:ascii="PMingLiU" w:hAnsi="PMingLiU"/>
          <w:bCs/>
          <w:sz w:val="24"/>
        </w:rPr>
        <w:t>对202</w:t>
      </w:r>
      <w:r>
        <w:rPr>
          <w:rFonts w:hint="eastAsia" w:ascii="PMingLiU" w:hAnsi="PMingLiU"/>
          <w:bCs/>
          <w:color w:val="auto"/>
          <w:sz w:val="24"/>
          <w:lang w:val="en-US" w:eastAsia="zh-CN"/>
        </w:rPr>
        <w:t>3</w:t>
      </w:r>
      <w:r>
        <w:rPr>
          <w:rFonts w:hint="eastAsia" w:ascii="PMingLiU" w:hAnsi="PMingLiU"/>
          <w:bCs/>
          <w:sz w:val="24"/>
        </w:rPr>
        <w:t>年市场</w:t>
      </w:r>
      <w:r>
        <w:rPr>
          <w:rFonts w:hint="eastAsia" w:ascii="PMingLiU" w:hAnsi="PMingLiU"/>
          <w:bCs/>
          <w:sz w:val="24"/>
          <w:lang w:eastAsia="zh-CN"/>
        </w:rPr>
        <w:t>行情</w:t>
      </w:r>
      <w:r>
        <w:rPr>
          <w:rFonts w:hint="eastAsia" w:ascii="PMingLiU" w:hAnsi="PMingLiU"/>
          <w:bCs/>
          <w:sz w:val="24"/>
        </w:rPr>
        <w:t>及企业经营竞争</w:t>
      </w:r>
      <w:r>
        <w:rPr>
          <w:rFonts w:hint="eastAsia" w:ascii="PMingLiU" w:hAnsi="PMingLiU"/>
          <w:bCs/>
          <w:sz w:val="24"/>
          <w:lang w:eastAsia="zh-CN"/>
        </w:rPr>
        <w:t>力、人力资源</w:t>
      </w:r>
      <w:r>
        <w:rPr>
          <w:rFonts w:hint="eastAsia" w:ascii="PMingLiU" w:hAnsi="PMingLiU"/>
          <w:bCs/>
          <w:sz w:val="24"/>
        </w:rPr>
        <w:t>方面</w:t>
      </w:r>
    </w:p>
    <w:tbl>
      <w:tblPr>
        <w:tblStyle w:val="8"/>
        <w:tblW w:w="10636" w:type="dxa"/>
        <w:tblInd w:w="-4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1"/>
        <w:gridCol w:w="54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5231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  <w:t>问题与困难</w:t>
            </w:r>
          </w:p>
        </w:tc>
        <w:tc>
          <w:tcPr>
            <w:tcW w:w="5405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建议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3" w:hRule="atLeast"/>
        </w:trPr>
        <w:tc>
          <w:tcPr>
            <w:tcW w:w="5231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 w:ascii="PMingLiU" w:hAnsi="PMingLiU"/>
          <w:bCs/>
          <w:sz w:val="24"/>
        </w:rPr>
      </w:pPr>
      <w:r>
        <w:rPr>
          <w:rFonts w:hint="eastAsia" w:ascii="PMingLiU" w:hAnsi="PMingLiU"/>
          <w:bCs/>
          <w:sz w:val="24"/>
        </w:rPr>
        <w:t>　　</w:t>
      </w:r>
    </w:p>
    <w:p>
      <w:pPr>
        <w:numPr>
          <w:ilvl w:val="0"/>
          <w:numId w:val="2"/>
        </w:numPr>
        <w:spacing w:line="400" w:lineRule="exact"/>
        <w:rPr>
          <w:rFonts w:hint="eastAsia" w:ascii="PMingLiU" w:hAnsi="PMingLiU" w:eastAsia="宋体"/>
          <w:bCs/>
          <w:sz w:val="24"/>
          <w:lang w:eastAsia="zh-CN"/>
        </w:rPr>
      </w:pPr>
      <w:r>
        <w:rPr>
          <w:rFonts w:hint="eastAsia" w:ascii="PMingLiU" w:hAnsi="PMingLiU"/>
          <w:bCs/>
          <w:sz w:val="24"/>
          <w:lang w:eastAsia="zh-CN"/>
        </w:rPr>
        <w:t>绿色制造、“双碳”</w:t>
      </w:r>
      <w:r>
        <w:rPr>
          <w:rFonts w:hint="eastAsia" w:ascii="PMingLiU" w:hAnsi="PMingLiU"/>
          <w:bCs/>
          <w:sz w:val="24"/>
        </w:rPr>
        <w:t>与节能减排、安全生产等</w:t>
      </w:r>
      <w:r>
        <w:rPr>
          <w:rFonts w:hint="eastAsia" w:ascii="PMingLiU" w:hAnsi="PMingLiU"/>
          <w:bCs/>
          <w:sz w:val="24"/>
          <w:lang w:eastAsia="zh-CN"/>
        </w:rPr>
        <w:t>方面</w:t>
      </w:r>
    </w:p>
    <w:tbl>
      <w:tblPr>
        <w:tblStyle w:val="8"/>
        <w:tblW w:w="10623" w:type="dxa"/>
        <w:tblInd w:w="-41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8"/>
        <w:gridCol w:w="54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5218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  <w:lang w:eastAsia="zh-CN"/>
              </w:rPr>
              <w:t>问题与困难</w:t>
            </w:r>
          </w:p>
        </w:tc>
        <w:tc>
          <w:tcPr>
            <w:tcW w:w="5405" w:type="dxa"/>
            <w:shd w:val="clear" w:color="auto" w:fill="D9D9D9"/>
            <w:noWrap w:val="0"/>
            <w:vAlign w:val="center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00000"/>
                <w:sz w:val="18"/>
                <w:szCs w:val="18"/>
              </w:rPr>
              <w:t>建议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3" w:hRule="atLeast"/>
        </w:trPr>
        <w:tc>
          <w:tcPr>
            <w:tcW w:w="5218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  <w:tc>
          <w:tcPr>
            <w:tcW w:w="5405" w:type="dxa"/>
            <w:noWrap w:val="0"/>
            <w:vAlign w:val="top"/>
          </w:tcPr>
          <w:p>
            <w:pPr>
              <w:pStyle w:val="14"/>
              <w:snapToGrid w:val="0"/>
              <w:spacing w:before="62" w:beforeLines="20" w:after="62" w:afterLines="20" w:line="240" w:lineRule="auto"/>
              <w:ind w:left="0"/>
              <w:rPr>
                <w:rFonts w:asci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before="156" w:beforeLines="50" w:after="156" w:afterLines="50" w:line="0" w:lineRule="atLeast"/>
        <w:ind w:left="-181"/>
        <w:jc w:val="center"/>
        <w:rPr>
          <w:rFonts w:hint="default" w:ascii="PMingLiU" w:hAnsi="PMingLiU"/>
          <w:b/>
          <w:color w:val="auto"/>
          <w:sz w:val="48"/>
          <w:szCs w:val="36"/>
          <w:u w:val="wave"/>
          <w:shd w:val="pct10" w:color="auto" w:fill="FFFFFF"/>
          <w:lang w:val="en-US" w:eastAsia="zh-CN"/>
        </w:rPr>
      </w:pPr>
      <w:r>
        <w:rPr>
          <w:rFonts w:hint="eastAsia" w:ascii="PMingLiU" w:hAnsi="PMingLiU"/>
          <w:b/>
          <w:color w:val="auto"/>
          <w:sz w:val="48"/>
          <w:szCs w:val="36"/>
          <w:u w:val="wave"/>
          <w:shd w:val="pct10" w:color="auto" w:fill="FFFFFF"/>
          <w:lang w:val="en-US" w:eastAsia="zh-CN"/>
        </w:rPr>
        <w:t>PCB企业环保工艺、原辅料替代专项调研</w:t>
      </w:r>
    </w:p>
    <w:tbl>
      <w:tblPr>
        <w:tblStyle w:val="9"/>
        <w:tblpPr w:leftFromText="180" w:rightFromText="180" w:vertAnchor="text" w:horzAnchor="page" w:tblpX="1074" w:tblpY="294"/>
        <w:tblOverlap w:val="never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/>
                <w:bCs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企业环保工艺情况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主要消耗能源（资源）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□电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 □煤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 □天然气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 □蒸汽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 □水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 xml:space="preserve">  □其他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主要耗能设备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□清洗机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□化学清洗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□曝光机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 xml:space="preserve"> □空压机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 xml:space="preserve"> □冷冻机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□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沉铜线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□电镀线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□化学沉金线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 xml:space="preserve">□长的水平线（DES、SES、显影线）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625" w:type="pct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线路图形形成工艺</w:t>
            </w:r>
          </w:p>
        </w:tc>
        <w:tc>
          <w:tcPr>
            <w:tcW w:w="3374" w:type="pct"/>
            <w:vAlign w:val="top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□曝光机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□LDI          □印刷工艺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625" w:type="pct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阻焊图形形成工艺</w:t>
            </w:r>
          </w:p>
        </w:tc>
        <w:tc>
          <w:tcPr>
            <w:tcW w:w="3374" w:type="pct"/>
            <w:vAlign w:val="top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□曝光机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□LDI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625" w:type="pct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阻焊方式</w:t>
            </w:r>
          </w:p>
        </w:tc>
        <w:tc>
          <w:tcPr>
            <w:tcW w:w="3374" w:type="pct"/>
            <w:vAlign w:val="top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□丝印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□静电喷涂     □低压喷涂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板面清洗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□不使用有机清洗剂，清洗液不含络合物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□化学清洗和/或机械磨刷，采用逆流清洗或水回用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□有铜粉回/或污染物回收处理装置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挥发性有机物（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VOCs）处理工艺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□热力焚烧    □催化燃烧  □冷凝回收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>□活性炭吸附  □生物处理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现有废水处理系统运营成本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□高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□合适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是否需要废水处理系统升级改造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lang w:val="en-US" w:eastAsia="zh-CN"/>
              </w:rPr>
              <w:t>废气处理效果</w:t>
            </w:r>
          </w:p>
        </w:tc>
        <w:tc>
          <w:tcPr>
            <w:tcW w:w="3374" w:type="pct"/>
            <w:vAlign w:val="center"/>
          </w:tcPr>
          <w:p>
            <w:pPr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</w:rPr>
              <w:t>远低于排放限值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</w:rPr>
              <w:t>略低于排放限值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</w:rPr>
              <w:t>接近排放限值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是否有中水回用系统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蚀刻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□应用封闭式自动传送蚀刻装置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□蚀刻机有自动控制与添加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□有再生循环系统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□清洗水多级逆流清洗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□清洗浓液补充，无加于蚀刻液中或回收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□蚀刻机密封，无溶液与气体泄漏，排风管有阀门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□废气有收集处理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废气处理效果</w:t>
            </w:r>
          </w:p>
        </w:tc>
        <w:tc>
          <w:tcPr>
            <w:tcW w:w="3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□远低于排放限值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□略低于排放限值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□接近排放限值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废气处理系统投资额期望值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□&lt;50万元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□&lt;100万元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□&lt;500万元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□&lt;1000万元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是否需要升级噪声控制措施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污泥产生量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□&lt;200吨/年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□&lt;1000吨/年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□&lt;3000吨/年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□&gt;3000吨/年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污染源在线监测设备配置情况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□有废水在线监测设备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□有废气在线监测设备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危废减量化措施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□污泥干化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□膜渣干化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□蚀刻液再生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□金属回收</w:t>
            </w:r>
          </w:p>
          <w:p>
            <w:pPr>
              <w:spacing w:line="400" w:lineRule="exact"/>
              <w:jc w:val="both"/>
              <w:rPr>
                <w:rFonts w:hint="default" w:ascii="PMingLiU" w:hAnsi="PMingLiU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□废活性炭再生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□退锡废液提锡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□无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□其他</w:t>
            </w:r>
            <w:r>
              <w:rPr>
                <w:rFonts w:hint="eastAsia" w:ascii="PMingLiU" w:hAnsi="PMingLiU"/>
                <w:b w:val="0"/>
                <w:bCs w:val="0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公司是否开展过清洁生产审核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公司是否开展绿色制造体系建设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□是，绿色工厂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□是，绿色产品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□是，绿色供应链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公司技术设备升级改造是否申请过专项资金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□是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□否，投入少达不到要求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□否，缺少专业指导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公司需要哪些环保技术服务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□改扩建环境影响评价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□国家排放许可证申领及证后管理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□清洁生产审核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□绿色工厂、绿色产品申报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□环境监测服务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□危废处理服务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□环保管家服务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□低碳技术咨询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□绿色循环发展与节能降耗专项资金申请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需要行业协会解决哪方面问题</w:t>
            </w:r>
          </w:p>
        </w:tc>
        <w:tc>
          <w:tcPr>
            <w:tcW w:w="3374" w:type="pct"/>
            <w:vAlign w:val="center"/>
          </w:tcPr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□环保问题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□绿色金融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□会员活动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□展览论坛</w:t>
            </w:r>
          </w:p>
          <w:p>
            <w:pPr>
              <w:spacing w:line="400" w:lineRule="exact"/>
              <w:jc w:val="both"/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</w:pP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□行业自律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□专业培训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PMingLiU" w:hAnsi="PMingLiU"/>
                <w:b w:val="0"/>
                <w:bCs w:val="0"/>
                <w:u w:val="none"/>
                <w:lang w:eastAsia="zh-CN"/>
              </w:rPr>
              <w:t>□其他</w:t>
            </w:r>
          </w:p>
        </w:tc>
      </w:tr>
    </w:tbl>
    <w:p>
      <w:pPr>
        <w:rPr>
          <w:rFonts w:hint="eastAsia"/>
        </w:rPr>
      </w:pPr>
    </w:p>
    <w:tbl>
      <w:tblPr>
        <w:tblStyle w:val="9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793"/>
        <w:gridCol w:w="943"/>
        <w:gridCol w:w="1467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电子元器件（线路板）行业原辅料替代技术推荐和案例（深圳生态环境局专项调研）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yellow"/>
                <w:vertAlign w:val="baseline"/>
                <w:lang w:eastAsia="zh-CN"/>
              </w:rPr>
              <w:t>（案例可另页填写）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承印物</w:t>
            </w:r>
          </w:p>
        </w:tc>
        <w:tc>
          <w:tcPr>
            <w:tcW w:w="1859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1617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生产工艺</w:t>
            </w:r>
          </w:p>
        </w:tc>
        <w:tc>
          <w:tcPr>
            <w:tcW w:w="1859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VOCs原辅料</w:t>
            </w:r>
          </w:p>
        </w:tc>
        <w:tc>
          <w:tcPr>
            <w:tcW w:w="1617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2651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含VOCs原辅料</w:t>
            </w:r>
          </w:p>
        </w:tc>
        <w:tc>
          <w:tcPr>
            <w:tcW w:w="2348" w:type="pct"/>
            <w:gridSpan w:val="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源头替代方向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VOCs含量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价钱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先进生产工艺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182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替代成本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是否需要对应生产工艺改造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182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低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VOCs原辅料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低VOCs原辅料现状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工艺成熟度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（非常成熟/成熟/待研究）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Merge w:val="continue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市场接受度（高/中/低)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Merge w:val="continue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2" w:type="pct"/>
            <w:vMerge w:val="continue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价钱</w:t>
            </w:r>
          </w:p>
        </w:tc>
        <w:tc>
          <w:tcPr>
            <w:tcW w:w="2817" w:type="pct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60" w:lineRule="exact"/>
        <w:jc w:val="left"/>
        <w:rPr>
          <w:rFonts w:hint="eastAsia" w:ascii="Times New Roman"/>
          <w:color w:val="FF0000"/>
          <w:szCs w:val="21"/>
        </w:rPr>
      </w:pPr>
      <w:r>
        <w:rPr>
          <w:rFonts w:hint="eastAsia" w:ascii="Times New Roman"/>
          <w:color w:val="FF0000"/>
          <w:szCs w:val="21"/>
        </w:rPr>
        <w:t>注：</w:t>
      </w:r>
      <w:r>
        <w:rPr>
          <w:rFonts w:hint="eastAsia" w:ascii="Times New Roman"/>
          <w:color w:val="FF0000"/>
          <w:szCs w:val="21"/>
          <w:lang w:val="en-US" w:eastAsia="zh-CN"/>
        </w:rPr>
        <w:t xml:space="preserve">1. </w:t>
      </w:r>
      <w:r>
        <w:rPr>
          <w:rFonts w:hint="eastAsia" w:ascii="Times New Roman"/>
          <w:color w:val="FF0000"/>
          <w:szCs w:val="21"/>
        </w:rPr>
        <w:t>回复问卷时请备注收件方式，本报告成册后将免费为您邮寄！</w:t>
      </w:r>
    </w:p>
    <w:p>
      <w:pPr>
        <w:spacing w:line="460" w:lineRule="exact"/>
        <w:ind w:firstLine="420"/>
        <w:jc w:val="left"/>
        <w:rPr>
          <w:rFonts w:hint="eastAsia" w:ascii="Times New Roman"/>
          <w:color w:val="FF0000"/>
          <w:szCs w:val="21"/>
          <w:lang w:val="en-US" w:eastAsia="zh-CN"/>
        </w:rPr>
      </w:pPr>
      <w:r>
        <w:rPr>
          <w:rFonts w:hint="eastAsia" w:ascii="Times New Roman"/>
          <w:color w:val="FF0000"/>
          <w:szCs w:val="21"/>
          <w:lang w:val="en-US" w:eastAsia="zh-CN"/>
        </w:rPr>
        <w:t>2. 如果您需要《广东省电路板产业调查报告（2022年）版》电子版，请及时与我们联系</w:t>
      </w:r>
    </w:p>
    <w:p>
      <w:pPr>
        <w:spacing w:line="460" w:lineRule="exact"/>
        <w:ind w:firstLine="420"/>
        <w:jc w:val="left"/>
        <w:rPr>
          <w:rFonts w:hint="eastAsia" w:ascii="Times New Roman"/>
          <w:color w:val="FF0000"/>
          <w:szCs w:val="21"/>
          <w:lang w:val="en-US" w:eastAsia="zh-CN"/>
        </w:rPr>
      </w:pPr>
      <w:r>
        <w:rPr>
          <w:rFonts w:hint="eastAsia" w:ascii="Times New Roman"/>
          <w:color w:val="FF0000"/>
          <w:szCs w:val="21"/>
          <w:lang w:val="en-US" w:eastAsia="zh-CN"/>
        </w:rPr>
        <w:t>联系人：谭雯倩 18124001962（微信同号）</w:t>
      </w:r>
    </w:p>
    <w:sectPr>
      <w:footerReference r:id="rId3" w:type="default"/>
      <w:pgSz w:w="11906" w:h="16838"/>
      <w:pgMar w:top="1100" w:right="1026" w:bottom="1157" w:left="10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54BFD-5E70-4158-BFBC-97B83905D4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AD1396-E357-45B9-A254-35D34E44E2E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4FE5A91D-4CC4-4ECA-85CA-49B7A735351A}"/>
  </w:font>
  <w:font w:name="文鼎晶栩中黑">
    <w:altName w:val="黑体"/>
    <w:panose1 w:val="020B0600000000000000"/>
    <w:charset w:val="86"/>
    <w:family w:val="auto"/>
    <w:pitch w:val="default"/>
    <w:sig w:usb0="00000000" w:usb1="00000000" w:usb2="00000012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4" w:fontKey="{6437D568-793C-4469-AF16-DF7228AABD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13D0FA-C451-42EB-9294-26CCC19D9189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6" w:fontKey="{CBB81239-BE22-42D1-AA1D-28F69223B33B}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  <w:embedRegular r:id="rId7" w:fontKey="{178551C5-A85F-4FFF-993D-E76E59C703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9C1A22A1-62C2-4305-96A9-02FEECB81F5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2D9C1"/>
    <w:multiLevelType w:val="singleLevel"/>
    <w:tmpl w:val="C6B2D9C1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5B80A62"/>
    <w:multiLevelType w:val="singleLevel"/>
    <w:tmpl w:val="75B80A62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Tk1Yjk4N2I1NzJjOTdmMjJmMDc5MzU5MDhiZDkifQ=="/>
  </w:docVars>
  <w:rsids>
    <w:rsidRoot w:val="001D6725"/>
    <w:rsid w:val="001C518E"/>
    <w:rsid w:val="001D6725"/>
    <w:rsid w:val="002406ED"/>
    <w:rsid w:val="0028019B"/>
    <w:rsid w:val="00483648"/>
    <w:rsid w:val="00DB2417"/>
    <w:rsid w:val="00FA301A"/>
    <w:rsid w:val="01027EAE"/>
    <w:rsid w:val="013F5C60"/>
    <w:rsid w:val="01D52472"/>
    <w:rsid w:val="023C482F"/>
    <w:rsid w:val="026B7344"/>
    <w:rsid w:val="02703159"/>
    <w:rsid w:val="02E96993"/>
    <w:rsid w:val="03323B24"/>
    <w:rsid w:val="03415BF8"/>
    <w:rsid w:val="035C51D2"/>
    <w:rsid w:val="043F7542"/>
    <w:rsid w:val="04DD78CD"/>
    <w:rsid w:val="05BA53BA"/>
    <w:rsid w:val="06087A7B"/>
    <w:rsid w:val="062006DE"/>
    <w:rsid w:val="06864628"/>
    <w:rsid w:val="06990E7F"/>
    <w:rsid w:val="06DE1FAC"/>
    <w:rsid w:val="06E37D1D"/>
    <w:rsid w:val="06F41CF8"/>
    <w:rsid w:val="07705791"/>
    <w:rsid w:val="0872715D"/>
    <w:rsid w:val="08B07260"/>
    <w:rsid w:val="08DC4DA3"/>
    <w:rsid w:val="09AB4DF0"/>
    <w:rsid w:val="0AD643C0"/>
    <w:rsid w:val="0C991FBF"/>
    <w:rsid w:val="0CFA13EB"/>
    <w:rsid w:val="0DD252C1"/>
    <w:rsid w:val="0EA048EA"/>
    <w:rsid w:val="0F357A15"/>
    <w:rsid w:val="0F6A796E"/>
    <w:rsid w:val="0FFE66CD"/>
    <w:rsid w:val="108413D9"/>
    <w:rsid w:val="10B617E5"/>
    <w:rsid w:val="11745FEE"/>
    <w:rsid w:val="119C7036"/>
    <w:rsid w:val="11B969AD"/>
    <w:rsid w:val="1210774A"/>
    <w:rsid w:val="13361823"/>
    <w:rsid w:val="143B2B59"/>
    <w:rsid w:val="144C2B4C"/>
    <w:rsid w:val="14CF1229"/>
    <w:rsid w:val="14FC5C35"/>
    <w:rsid w:val="15233E88"/>
    <w:rsid w:val="159642F2"/>
    <w:rsid w:val="15CE07E4"/>
    <w:rsid w:val="161B672E"/>
    <w:rsid w:val="16366557"/>
    <w:rsid w:val="169A2C0C"/>
    <w:rsid w:val="169C4092"/>
    <w:rsid w:val="16B73E34"/>
    <w:rsid w:val="16C777A8"/>
    <w:rsid w:val="18403D2E"/>
    <w:rsid w:val="18454952"/>
    <w:rsid w:val="19A00906"/>
    <w:rsid w:val="19B96B20"/>
    <w:rsid w:val="19EE0C22"/>
    <w:rsid w:val="19F43F0D"/>
    <w:rsid w:val="19FC554B"/>
    <w:rsid w:val="1A6B0F62"/>
    <w:rsid w:val="1B0552BE"/>
    <w:rsid w:val="1B925937"/>
    <w:rsid w:val="1BEB4A4C"/>
    <w:rsid w:val="1C622794"/>
    <w:rsid w:val="1CB052CB"/>
    <w:rsid w:val="1CE251B8"/>
    <w:rsid w:val="1D2B62B6"/>
    <w:rsid w:val="1D2D4D47"/>
    <w:rsid w:val="1D4C3D11"/>
    <w:rsid w:val="1E113014"/>
    <w:rsid w:val="1E473EFE"/>
    <w:rsid w:val="1E6435F5"/>
    <w:rsid w:val="1E751A85"/>
    <w:rsid w:val="1F260834"/>
    <w:rsid w:val="1F5D196A"/>
    <w:rsid w:val="1F78690B"/>
    <w:rsid w:val="214016BF"/>
    <w:rsid w:val="21604AD4"/>
    <w:rsid w:val="21680AEF"/>
    <w:rsid w:val="21706FBE"/>
    <w:rsid w:val="21BE6D52"/>
    <w:rsid w:val="221B0982"/>
    <w:rsid w:val="2228478D"/>
    <w:rsid w:val="22BD3225"/>
    <w:rsid w:val="2416293E"/>
    <w:rsid w:val="241F18D9"/>
    <w:rsid w:val="2442752E"/>
    <w:rsid w:val="245A1078"/>
    <w:rsid w:val="24667999"/>
    <w:rsid w:val="24756EF5"/>
    <w:rsid w:val="248B748F"/>
    <w:rsid w:val="24AD6BD8"/>
    <w:rsid w:val="250366FE"/>
    <w:rsid w:val="254509A6"/>
    <w:rsid w:val="26D43663"/>
    <w:rsid w:val="26F07D51"/>
    <w:rsid w:val="2702525E"/>
    <w:rsid w:val="27E52C44"/>
    <w:rsid w:val="28C917E5"/>
    <w:rsid w:val="2A6347B3"/>
    <w:rsid w:val="2A8D6E18"/>
    <w:rsid w:val="2B2A2189"/>
    <w:rsid w:val="2B4B6E65"/>
    <w:rsid w:val="2B83691B"/>
    <w:rsid w:val="2C564F22"/>
    <w:rsid w:val="2CBC0D61"/>
    <w:rsid w:val="2D0D4070"/>
    <w:rsid w:val="2D205C1E"/>
    <w:rsid w:val="2DC71AE8"/>
    <w:rsid w:val="2E277D6E"/>
    <w:rsid w:val="2E2C5D1E"/>
    <w:rsid w:val="2EF44F5A"/>
    <w:rsid w:val="2F4F6E3E"/>
    <w:rsid w:val="2F99622A"/>
    <w:rsid w:val="2FFD56CC"/>
    <w:rsid w:val="30121C36"/>
    <w:rsid w:val="304A54C8"/>
    <w:rsid w:val="30751589"/>
    <w:rsid w:val="30E37BDE"/>
    <w:rsid w:val="30E87936"/>
    <w:rsid w:val="31C03F4F"/>
    <w:rsid w:val="31E62A7D"/>
    <w:rsid w:val="320D0898"/>
    <w:rsid w:val="329A120D"/>
    <w:rsid w:val="33221D65"/>
    <w:rsid w:val="338C368E"/>
    <w:rsid w:val="344A5587"/>
    <w:rsid w:val="34F51661"/>
    <w:rsid w:val="35F5193E"/>
    <w:rsid w:val="3698742F"/>
    <w:rsid w:val="36B61242"/>
    <w:rsid w:val="36DD7D97"/>
    <w:rsid w:val="3720503C"/>
    <w:rsid w:val="37A43477"/>
    <w:rsid w:val="37A67151"/>
    <w:rsid w:val="381555AE"/>
    <w:rsid w:val="383C7621"/>
    <w:rsid w:val="38DA713E"/>
    <w:rsid w:val="38E47BC1"/>
    <w:rsid w:val="39442444"/>
    <w:rsid w:val="39464F12"/>
    <w:rsid w:val="39D23390"/>
    <w:rsid w:val="39D46322"/>
    <w:rsid w:val="3A126EC8"/>
    <w:rsid w:val="3A6B3F4E"/>
    <w:rsid w:val="3A7435F2"/>
    <w:rsid w:val="3AD3310F"/>
    <w:rsid w:val="3AE94886"/>
    <w:rsid w:val="3B9139A0"/>
    <w:rsid w:val="3BBD4068"/>
    <w:rsid w:val="3C0C4860"/>
    <w:rsid w:val="3C6A157E"/>
    <w:rsid w:val="3C9D342B"/>
    <w:rsid w:val="3D541B33"/>
    <w:rsid w:val="3D736FC9"/>
    <w:rsid w:val="3E4E5CE8"/>
    <w:rsid w:val="3F2D6DA2"/>
    <w:rsid w:val="3F53597F"/>
    <w:rsid w:val="40030838"/>
    <w:rsid w:val="40397C97"/>
    <w:rsid w:val="40421FED"/>
    <w:rsid w:val="406541ED"/>
    <w:rsid w:val="413C6E91"/>
    <w:rsid w:val="41796D49"/>
    <w:rsid w:val="419F3E0B"/>
    <w:rsid w:val="41A24170"/>
    <w:rsid w:val="41BF50EE"/>
    <w:rsid w:val="41FC16A9"/>
    <w:rsid w:val="42787ACA"/>
    <w:rsid w:val="429E1A07"/>
    <w:rsid w:val="432D727E"/>
    <w:rsid w:val="43780834"/>
    <w:rsid w:val="43E22131"/>
    <w:rsid w:val="44484378"/>
    <w:rsid w:val="44724FCA"/>
    <w:rsid w:val="46524D3C"/>
    <w:rsid w:val="46650960"/>
    <w:rsid w:val="46666D9C"/>
    <w:rsid w:val="46895896"/>
    <w:rsid w:val="47D5123B"/>
    <w:rsid w:val="47E57D43"/>
    <w:rsid w:val="48584F08"/>
    <w:rsid w:val="48932267"/>
    <w:rsid w:val="48BE26DD"/>
    <w:rsid w:val="499435F4"/>
    <w:rsid w:val="49BF4FE2"/>
    <w:rsid w:val="49D400F9"/>
    <w:rsid w:val="4A1505F1"/>
    <w:rsid w:val="4A7C76F0"/>
    <w:rsid w:val="4A9E2D2E"/>
    <w:rsid w:val="4B064DAC"/>
    <w:rsid w:val="4B26605A"/>
    <w:rsid w:val="4C4D7B06"/>
    <w:rsid w:val="4D61655E"/>
    <w:rsid w:val="4D8D58F2"/>
    <w:rsid w:val="4E5A39E3"/>
    <w:rsid w:val="4EBB043F"/>
    <w:rsid w:val="4F3A6810"/>
    <w:rsid w:val="52751AE2"/>
    <w:rsid w:val="533E75CF"/>
    <w:rsid w:val="53DA7EB1"/>
    <w:rsid w:val="53DB0B62"/>
    <w:rsid w:val="544801F7"/>
    <w:rsid w:val="548D397C"/>
    <w:rsid w:val="54FA50DB"/>
    <w:rsid w:val="55A569C0"/>
    <w:rsid w:val="55BD4A9D"/>
    <w:rsid w:val="560252CC"/>
    <w:rsid w:val="568C002D"/>
    <w:rsid w:val="5694250F"/>
    <w:rsid w:val="56D81843"/>
    <w:rsid w:val="570622AB"/>
    <w:rsid w:val="571B4147"/>
    <w:rsid w:val="576212EA"/>
    <w:rsid w:val="576363F3"/>
    <w:rsid w:val="57776B3D"/>
    <w:rsid w:val="57B15FD5"/>
    <w:rsid w:val="57EB3506"/>
    <w:rsid w:val="580120F8"/>
    <w:rsid w:val="5815431E"/>
    <w:rsid w:val="58275E41"/>
    <w:rsid w:val="58966438"/>
    <w:rsid w:val="58D1083E"/>
    <w:rsid w:val="5905437F"/>
    <w:rsid w:val="59F31664"/>
    <w:rsid w:val="5A243F11"/>
    <w:rsid w:val="5ABE539F"/>
    <w:rsid w:val="5AF0321E"/>
    <w:rsid w:val="5B472B4A"/>
    <w:rsid w:val="5B592836"/>
    <w:rsid w:val="5B5C1A12"/>
    <w:rsid w:val="5B681E93"/>
    <w:rsid w:val="5B7077DB"/>
    <w:rsid w:val="5BF843D3"/>
    <w:rsid w:val="5C0D3A45"/>
    <w:rsid w:val="5C543546"/>
    <w:rsid w:val="5D3356F2"/>
    <w:rsid w:val="5E475FFB"/>
    <w:rsid w:val="5EC14B5C"/>
    <w:rsid w:val="5F914DC6"/>
    <w:rsid w:val="604E3778"/>
    <w:rsid w:val="606044A0"/>
    <w:rsid w:val="608C56B1"/>
    <w:rsid w:val="60A52CFD"/>
    <w:rsid w:val="619A3B44"/>
    <w:rsid w:val="619E64F4"/>
    <w:rsid w:val="61DD7987"/>
    <w:rsid w:val="62A32D2B"/>
    <w:rsid w:val="62D14053"/>
    <w:rsid w:val="637C0F14"/>
    <w:rsid w:val="638018E3"/>
    <w:rsid w:val="64660AC7"/>
    <w:rsid w:val="6496653C"/>
    <w:rsid w:val="64AE32BA"/>
    <w:rsid w:val="653C7C53"/>
    <w:rsid w:val="66CD02B6"/>
    <w:rsid w:val="67EA24CD"/>
    <w:rsid w:val="68140A72"/>
    <w:rsid w:val="6822078D"/>
    <w:rsid w:val="68AC374D"/>
    <w:rsid w:val="68F03191"/>
    <w:rsid w:val="693E1DEE"/>
    <w:rsid w:val="6A040B4F"/>
    <w:rsid w:val="6A3F2E92"/>
    <w:rsid w:val="6B7028A4"/>
    <w:rsid w:val="6C6D43EB"/>
    <w:rsid w:val="6CDB23CE"/>
    <w:rsid w:val="6CE5729A"/>
    <w:rsid w:val="6D993960"/>
    <w:rsid w:val="6DAB15D7"/>
    <w:rsid w:val="6DC1141F"/>
    <w:rsid w:val="6F3F5635"/>
    <w:rsid w:val="6F6042D8"/>
    <w:rsid w:val="6F83416A"/>
    <w:rsid w:val="6FF96A55"/>
    <w:rsid w:val="708F550D"/>
    <w:rsid w:val="71425072"/>
    <w:rsid w:val="716A49C6"/>
    <w:rsid w:val="72CA65AE"/>
    <w:rsid w:val="73621A68"/>
    <w:rsid w:val="73F7135E"/>
    <w:rsid w:val="74B10B33"/>
    <w:rsid w:val="75840627"/>
    <w:rsid w:val="75904854"/>
    <w:rsid w:val="75BB4B5C"/>
    <w:rsid w:val="75E31487"/>
    <w:rsid w:val="75F60DD3"/>
    <w:rsid w:val="76632ABA"/>
    <w:rsid w:val="77243AE4"/>
    <w:rsid w:val="77251A40"/>
    <w:rsid w:val="77315796"/>
    <w:rsid w:val="777224B9"/>
    <w:rsid w:val="7802198B"/>
    <w:rsid w:val="780B5F80"/>
    <w:rsid w:val="786B6166"/>
    <w:rsid w:val="79FB21F9"/>
    <w:rsid w:val="7A9F5B9B"/>
    <w:rsid w:val="7AA24889"/>
    <w:rsid w:val="7AD30B63"/>
    <w:rsid w:val="7B0C4B30"/>
    <w:rsid w:val="7B2D1734"/>
    <w:rsid w:val="7B402CD4"/>
    <w:rsid w:val="7B465F18"/>
    <w:rsid w:val="7B4C02F1"/>
    <w:rsid w:val="7BC75829"/>
    <w:rsid w:val="7BF91073"/>
    <w:rsid w:val="7C441F20"/>
    <w:rsid w:val="7DC04004"/>
    <w:rsid w:val="7E0F0602"/>
    <w:rsid w:val="7EAE6815"/>
    <w:rsid w:val="7F5D7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01"/>
    <w:qFormat/>
    <w:uiPriority w:val="0"/>
    <w:rPr>
      <w:rFonts w:hint="eastAsia" w:ascii="文鼎晶栩中黑" w:hAnsi="文鼎晶栩中黑" w:eastAsia="文鼎晶栩中黑" w:cs="文鼎晶栩中黑"/>
      <w:color w:val="000000"/>
      <w:sz w:val="21"/>
      <w:szCs w:val="21"/>
      <w:u w:val="none"/>
    </w:rPr>
  </w:style>
  <w:style w:type="paragraph" w:customStyle="1" w:styleId="14">
    <w:name w:val="小項"/>
    <w:basedOn w:val="1"/>
    <w:qFormat/>
    <w:uiPriority w:val="0"/>
    <w:pPr>
      <w:adjustRightInd w:val="0"/>
      <w:spacing w:line="540" w:lineRule="atLeast"/>
      <w:ind w:left="584"/>
      <w:textAlignment w:val="baseline"/>
    </w:pPr>
    <w:rPr>
      <w:rFonts w:ascii="DFKai-SB" w:eastAsia="DFKai-SB"/>
      <w:kern w:val="0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2676</Words>
  <Characters>2929</Characters>
  <Lines>16</Lines>
  <Paragraphs>4</Paragraphs>
  <TotalTime>14</TotalTime>
  <ScaleCrop>false</ScaleCrop>
  <LinksUpToDate>false</LinksUpToDate>
  <CharactersWithSpaces>3372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Administrator.OINLUQ04ZFV1ZJM</dc:creator>
  <cp:lastModifiedBy>GPCA&amp;SPCA资讯部谭雯倩</cp:lastModifiedBy>
  <dcterms:modified xsi:type="dcterms:W3CDTF">2023-03-30T01:21:24Z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E4C563058CCB4EF5A9B35CA61F1A035F</vt:lpwstr>
  </property>
</Properties>
</file>